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B355F">
      <w:pPr>
        <w:widowControl/>
        <w:jc w:val="center"/>
        <w:rPr>
          <w:rFonts w:ascii="方正小标宋简体" w:eastAsia="方正小标宋简体" w:hAnsi="宋体" w:cs="宋体" w:hint="eastAsia"/>
          <w:color w:val="FF0000"/>
          <w:spacing w:val="100"/>
          <w:w w:val="80"/>
          <w:kern w:val="0"/>
          <w:sz w:val="120"/>
          <w:szCs w:val="120"/>
        </w:rPr>
      </w:pPr>
      <w:r>
        <w:rPr>
          <w:rFonts w:ascii="方正小标宋简体" w:eastAsia="方正小标宋简体" w:hAnsi="宋体" w:cs="宋体" w:hint="eastAsia"/>
          <w:color w:val="FF0000"/>
          <w:spacing w:val="100"/>
          <w:w w:val="80"/>
          <w:kern w:val="0"/>
          <w:sz w:val="120"/>
          <w:szCs w:val="120"/>
        </w:rPr>
        <w:t>淮阴工学院文件</w:t>
      </w:r>
    </w:p>
    <w:tbl>
      <w:tblPr>
        <w:tblW w:w="0" w:type="auto"/>
        <w:tblInd w:w="108" w:type="dxa"/>
        <w:tblBorders>
          <w:bottom w:val="single" w:sz="18" w:space="0" w:color="FF0000"/>
        </w:tblBorders>
        <w:tblLook w:val="0000"/>
      </w:tblPr>
      <w:tblGrid>
        <w:gridCol w:w="8836"/>
      </w:tblGrid>
      <w:tr w:rsidR="00000000">
        <w:trPr>
          <w:trHeight w:val="469"/>
        </w:trPr>
        <w:tc>
          <w:tcPr>
            <w:tcW w:w="8836" w:type="dxa"/>
          </w:tcPr>
          <w:p w:rsidR="00000000" w:rsidRDefault="003B355F">
            <w:pPr>
              <w:spacing w:line="400" w:lineRule="exact"/>
              <w:rPr>
                <w:rFonts w:ascii="仿宋_GB2312" w:eastAsia="仿宋_GB2312" w:cs="仿宋_GB2312"/>
                <w:sz w:val="32"/>
                <w:szCs w:val="32"/>
              </w:rPr>
            </w:pPr>
          </w:p>
          <w:p w:rsidR="00000000" w:rsidRDefault="003B355F">
            <w:pPr>
              <w:spacing w:afterLines="50" w:line="480" w:lineRule="exact"/>
              <w:ind w:firstLineChars="100" w:firstLine="360"/>
              <w:jc w:val="center"/>
              <w:rPr>
                <w:rFonts w:ascii="仿宋_GB2312" w:eastAsia="仿宋_GB2312" w:cs="仿宋_GB2312" w:hint="eastAsia"/>
                <w:sz w:val="18"/>
                <w:szCs w:val="18"/>
              </w:rPr>
            </w:pPr>
            <w:bookmarkStart w:id="0" w:name="编号"/>
            <w:r>
              <w:rPr>
                <w:rFonts w:ascii="仿宋_GB2312" w:eastAsia="仿宋_GB2312" w:hint="eastAsia"/>
                <w:spacing w:val="20"/>
                <w:sz w:val="32"/>
                <w:szCs w:val="32"/>
              </w:rPr>
              <w:t>淮工教〔</w:t>
            </w:r>
            <w:r>
              <w:rPr>
                <w:rFonts w:ascii="仿宋_GB2312" w:eastAsia="仿宋_GB2312" w:hint="eastAsia"/>
                <w:spacing w:val="20"/>
                <w:sz w:val="32"/>
                <w:szCs w:val="32"/>
              </w:rPr>
              <w:t>2024</w:t>
            </w:r>
            <w:r>
              <w:rPr>
                <w:rFonts w:ascii="仿宋_GB2312" w:eastAsia="仿宋_GB2312" w:hint="eastAsia"/>
                <w:spacing w:val="20"/>
                <w:sz w:val="32"/>
                <w:szCs w:val="32"/>
              </w:rPr>
              <w:t>〕</w:t>
            </w:r>
            <w:r>
              <w:rPr>
                <w:rFonts w:ascii="仿宋_GB2312" w:eastAsia="仿宋_GB2312" w:hint="eastAsia"/>
                <w:spacing w:val="20"/>
                <w:sz w:val="32"/>
                <w:szCs w:val="32"/>
              </w:rPr>
              <w:t>91</w:t>
            </w:r>
            <w:r>
              <w:rPr>
                <w:rFonts w:ascii="仿宋_GB2312" w:eastAsia="仿宋_GB2312" w:hint="eastAsia"/>
                <w:spacing w:val="20"/>
                <w:sz w:val="32"/>
                <w:szCs w:val="32"/>
              </w:rPr>
              <w:t>号</w:t>
            </w:r>
            <w:bookmarkEnd w:id="0"/>
          </w:p>
        </w:tc>
      </w:tr>
    </w:tbl>
    <w:p w:rsidR="00000000" w:rsidRDefault="003B355F">
      <w:pPr>
        <w:spacing w:line="560" w:lineRule="exact"/>
        <w:ind w:firstLine="720"/>
        <w:jc w:val="center"/>
        <w:rPr>
          <w:rFonts w:ascii="方正小标宋简体" w:eastAsia="方正小标宋简体" w:hint="eastAsia"/>
          <w:sz w:val="44"/>
          <w:szCs w:val="44"/>
        </w:rPr>
      </w:pPr>
    </w:p>
    <w:p w:rsidR="00000000" w:rsidRDefault="003B355F">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关于印发《淮阴工学院普通本科生课程重修</w:t>
      </w:r>
    </w:p>
    <w:p w:rsidR="00000000" w:rsidRDefault="003B355F">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管理办法（修订）》的通知</w:t>
      </w:r>
    </w:p>
    <w:p w:rsidR="00000000" w:rsidRDefault="003B355F">
      <w:pPr>
        <w:spacing w:line="560" w:lineRule="exact"/>
        <w:ind w:firstLine="720"/>
        <w:jc w:val="center"/>
        <w:rPr>
          <w:rFonts w:ascii="方正小标宋简体" w:eastAsia="方正小标宋简体" w:hint="eastAsia"/>
          <w:sz w:val="44"/>
          <w:szCs w:val="44"/>
        </w:rPr>
      </w:pPr>
    </w:p>
    <w:p w:rsidR="00000000" w:rsidRDefault="003B355F">
      <w:pPr>
        <w:spacing w:line="560" w:lineRule="exact"/>
        <w:rPr>
          <w:rFonts w:ascii="仿宋_GB2312" w:eastAsia="仿宋_GB2312" w:hint="eastAsia"/>
          <w:sz w:val="32"/>
          <w:szCs w:val="32"/>
        </w:rPr>
      </w:pPr>
      <w:r>
        <w:rPr>
          <w:rFonts w:ascii="仿宋_GB2312" w:eastAsia="仿宋_GB2312" w:hint="eastAsia"/>
          <w:sz w:val="32"/>
          <w:szCs w:val="32"/>
        </w:rPr>
        <w:t>各部门、单位：</w:t>
      </w:r>
    </w:p>
    <w:p w:rsidR="00000000" w:rsidRDefault="003B355F">
      <w:pPr>
        <w:spacing w:line="560" w:lineRule="exact"/>
        <w:ind w:firstLine="720"/>
        <w:rPr>
          <w:rFonts w:ascii="仿宋_GB2312" w:eastAsia="仿宋_GB2312" w:hint="eastAsia"/>
          <w:sz w:val="32"/>
          <w:szCs w:val="32"/>
        </w:rPr>
      </w:pPr>
      <w:r>
        <w:rPr>
          <w:rFonts w:ascii="仿宋_GB2312" w:eastAsia="仿宋_GB2312" w:hint="eastAsia"/>
          <w:sz w:val="32"/>
          <w:szCs w:val="32"/>
        </w:rPr>
        <w:t>《淮阴工学院普通本科生课程重修管理办法（修订）》已经学校研究通过，现予印发施行。</w:t>
      </w:r>
    </w:p>
    <w:p w:rsidR="00000000" w:rsidRDefault="003B355F">
      <w:pPr>
        <w:spacing w:line="560" w:lineRule="exact"/>
        <w:ind w:firstLine="720"/>
        <w:rPr>
          <w:rFonts w:ascii="仿宋_GB2312" w:eastAsia="仿宋_GB2312" w:hint="eastAsia"/>
          <w:sz w:val="32"/>
          <w:szCs w:val="32"/>
        </w:rPr>
      </w:pPr>
    </w:p>
    <w:p w:rsidR="00000000" w:rsidRDefault="003B355F">
      <w:pPr>
        <w:spacing w:line="560" w:lineRule="exact"/>
        <w:ind w:firstLine="720"/>
        <w:rPr>
          <w:rFonts w:ascii="仿宋_GB2312" w:eastAsia="仿宋_GB2312" w:hint="eastAsia"/>
          <w:sz w:val="32"/>
          <w:szCs w:val="32"/>
        </w:rPr>
      </w:pPr>
    </w:p>
    <w:p w:rsidR="00000000" w:rsidRDefault="003B355F">
      <w:pPr>
        <w:spacing w:line="560" w:lineRule="exact"/>
        <w:ind w:right="640" w:firstLineChars="1700" w:firstLine="5440"/>
        <w:rPr>
          <w:rFonts w:ascii="仿宋_GB2312" w:eastAsia="仿宋_GB2312" w:hint="eastAsia"/>
          <w:sz w:val="32"/>
          <w:szCs w:val="32"/>
        </w:rPr>
      </w:pPr>
      <w:r>
        <w:rPr>
          <w:rFonts w:ascii="仿宋_GB2312" w:eastAsia="仿宋_GB2312" w:hint="eastAsia"/>
          <w:sz w:val="32"/>
          <w:szCs w:val="32"/>
        </w:rPr>
        <w:t>淮阴工学院</w:t>
      </w:r>
    </w:p>
    <w:p w:rsidR="00000000" w:rsidRDefault="003B355F">
      <w:pPr>
        <w:spacing w:line="560" w:lineRule="exact"/>
        <w:ind w:right="640" w:firstLine="720"/>
        <w:jc w:val="center"/>
        <w:rPr>
          <w:rFonts w:ascii="方正小标宋简体" w:eastAsia="方正小标宋简体" w:hint="eastAsia"/>
          <w:sz w:val="44"/>
          <w:szCs w:val="44"/>
        </w:rPr>
      </w:pPr>
      <w:r>
        <w:rPr>
          <w:rFonts w:ascii="仿宋_GB2312" w:eastAsia="仿宋_GB2312" w:hint="eastAsia"/>
          <w:sz w:val="32"/>
          <w:szCs w:val="32"/>
        </w:rPr>
        <w:t xml:space="preserve">                        2024</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hint="eastAsia"/>
          <w:sz w:val="32"/>
          <w:szCs w:val="32"/>
        </w:rPr>
        <w:t>4</w:t>
      </w:r>
      <w:r>
        <w:rPr>
          <w:rFonts w:ascii="仿宋_GB2312" w:eastAsia="仿宋_GB2312" w:hint="eastAsia"/>
          <w:sz w:val="32"/>
          <w:szCs w:val="32"/>
        </w:rPr>
        <w:t>日</w:t>
      </w:r>
    </w:p>
    <w:p w:rsidR="00000000" w:rsidRDefault="003B355F">
      <w:pPr>
        <w:spacing w:line="560" w:lineRule="exact"/>
        <w:jc w:val="center"/>
        <w:rPr>
          <w:rFonts w:ascii="方正小标宋简体" w:eastAsia="方正小标宋简体" w:hint="eastAsia"/>
          <w:sz w:val="44"/>
          <w:szCs w:val="44"/>
        </w:rPr>
      </w:pPr>
    </w:p>
    <w:p w:rsidR="00000000" w:rsidRDefault="003B355F">
      <w:pPr>
        <w:spacing w:line="560" w:lineRule="exact"/>
        <w:jc w:val="center"/>
        <w:rPr>
          <w:rFonts w:ascii="方正小标宋简体" w:eastAsia="方正小标宋简体" w:hint="eastAsia"/>
          <w:sz w:val="44"/>
          <w:szCs w:val="44"/>
        </w:rPr>
      </w:pPr>
    </w:p>
    <w:p w:rsidR="00000000" w:rsidRDefault="003B355F">
      <w:pPr>
        <w:spacing w:line="560" w:lineRule="exact"/>
        <w:jc w:val="center"/>
        <w:rPr>
          <w:rFonts w:ascii="方正小标宋简体" w:eastAsia="方正小标宋简体" w:hint="eastAsia"/>
          <w:sz w:val="44"/>
          <w:szCs w:val="44"/>
        </w:rPr>
      </w:pPr>
    </w:p>
    <w:p w:rsidR="00000000" w:rsidRDefault="003B355F">
      <w:pPr>
        <w:spacing w:line="560" w:lineRule="exact"/>
        <w:jc w:val="center"/>
        <w:rPr>
          <w:rFonts w:ascii="方正小标宋简体" w:eastAsia="方正小标宋简体" w:hint="eastAsia"/>
          <w:sz w:val="44"/>
          <w:szCs w:val="44"/>
        </w:rPr>
      </w:pPr>
    </w:p>
    <w:p w:rsidR="00000000" w:rsidRDefault="003B355F">
      <w:pPr>
        <w:spacing w:line="560" w:lineRule="exact"/>
        <w:rPr>
          <w:rFonts w:ascii="方正小标宋简体" w:eastAsia="方正小标宋简体" w:hint="eastAsia"/>
          <w:sz w:val="44"/>
          <w:szCs w:val="44"/>
        </w:rPr>
      </w:pPr>
    </w:p>
    <w:p w:rsidR="00000000" w:rsidRDefault="003B355F">
      <w:pPr>
        <w:spacing w:line="560" w:lineRule="exact"/>
        <w:rPr>
          <w:rFonts w:ascii="方正小标宋简体" w:eastAsia="方正小标宋简体" w:hint="eastAsia"/>
          <w:sz w:val="44"/>
          <w:szCs w:val="44"/>
        </w:rPr>
      </w:pPr>
    </w:p>
    <w:p w:rsidR="00000000" w:rsidRDefault="003B355F">
      <w:pPr>
        <w:spacing w:line="580" w:lineRule="exact"/>
        <w:jc w:val="center"/>
        <w:rPr>
          <w:rFonts w:ascii="方正小标宋简体" w:eastAsia="方正小标宋简体" w:hint="eastAsia"/>
          <w:sz w:val="44"/>
          <w:szCs w:val="44"/>
        </w:rPr>
        <w:sectPr w:rsidR="00000000">
          <w:footerReference w:type="even" r:id="rId6"/>
          <w:footerReference w:type="default" r:id="rId7"/>
          <w:pgSz w:w="11906" w:h="16838"/>
          <w:pgMar w:top="2098" w:right="1474" w:bottom="1985" w:left="1588" w:header="851" w:footer="1361" w:gutter="0"/>
          <w:pgNumType w:fmt="numberInDash" w:start="1" w:chapSep="emDash"/>
          <w:cols w:space="720"/>
          <w:docGrid w:type="lines" w:linePitch="312"/>
        </w:sectPr>
      </w:pPr>
    </w:p>
    <w:p w:rsidR="00000000" w:rsidRDefault="003B355F">
      <w:pPr>
        <w:spacing w:line="580" w:lineRule="exact"/>
        <w:jc w:val="center"/>
        <w:rPr>
          <w:rFonts w:ascii="方正小标宋简体" w:eastAsia="方正小标宋简体" w:hint="eastAsia"/>
          <w:sz w:val="44"/>
          <w:szCs w:val="44"/>
        </w:rPr>
      </w:pPr>
    </w:p>
    <w:p w:rsidR="00000000" w:rsidRDefault="003B355F">
      <w:pPr>
        <w:spacing w:line="580" w:lineRule="exact"/>
        <w:jc w:val="center"/>
        <w:rPr>
          <w:rFonts w:ascii="方正小标宋简体" w:eastAsia="方正小标宋简体" w:hint="eastAsia"/>
          <w:sz w:val="44"/>
          <w:szCs w:val="44"/>
        </w:rPr>
      </w:pPr>
      <w:r>
        <w:rPr>
          <w:rFonts w:ascii="方正小标宋简体" w:eastAsia="方正小标宋简体" w:hint="eastAsia"/>
          <w:sz w:val="44"/>
          <w:szCs w:val="44"/>
        </w:rPr>
        <w:t>淮阴工学院普通本科生课程重修管理办法</w:t>
      </w:r>
    </w:p>
    <w:p w:rsidR="00000000" w:rsidRDefault="003B355F">
      <w:pPr>
        <w:spacing w:line="580" w:lineRule="exact"/>
        <w:jc w:val="center"/>
        <w:rPr>
          <w:rFonts w:ascii="方正小标宋简体" w:eastAsia="方正小标宋简体" w:hint="eastAsia"/>
          <w:sz w:val="44"/>
          <w:szCs w:val="44"/>
        </w:rPr>
      </w:pPr>
      <w:r>
        <w:rPr>
          <w:rFonts w:ascii="方正小标宋简体" w:eastAsia="方正小标宋简体" w:hint="eastAsia"/>
          <w:sz w:val="44"/>
          <w:szCs w:val="44"/>
        </w:rPr>
        <w:t>（修订）</w:t>
      </w:r>
    </w:p>
    <w:p w:rsidR="00000000" w:rsidRDefault="003B355F">
      <w:pPr>
        <w:spacing w:line="580" w:lineRule="exact"/>
        <w:jc w:val="center"/>
        <w:rPr>
          <w:rFonts w:ascii="仿宋_GB2312" w:eastAsia="仿宋_GB2312"/>
          <w:b/>
          <w:sz w:val="44"/>
          <w:szCs w:val="44"/>
        </w:rPr>
      </w:pPr>
    </w:p>
    <w:p w:rsidR="00000000" w:rsidRDefault="003B355F">
      <w:pPr>
        <w:spacing w:line="580" w:lineRule="exact"/>
        <w:ind w:firstLine="643"/>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hint="eastAsia"/>
          <w:sz w:val="32"/>
          <w:szCs w:val="32"/>
        </w:rPr>
        <w:t xml:space="preserve">  </w:t>
      </w:r>
      <w:r>
        <w:rPr>
          <w:rFonts w:ascii="黑体" w:eastAsia="黑体" w:hAnsi="黑体" w:hint="eastAsia"/>
          <w:sz w:val="32"/>
          <w:szCs w:val="32"/>
        </w:rPr>
        <w:t>总</w:t>
      </w:r>
      <w:r>
        <w:rPr>
          <w:rFonts w:ascii="黑体" w:eastAsia="黑体" w:hAnsi="黑体" w:hint="eastAsia"/>
          <w:sz w:val="32"/>
          <w:szCs w:val="32"/>
        </w:rPr>
        <w:t xml:space="preserve">  </w:t>
      </w:r>
      <w:r>
        <w:rPr>
          <w:rFonts w:ascii="黑体" w:eastAsia="黑体" w:hAnsi="黑体" w:hint="eastAsia"/>
          <w:sz w:val="32"/>
          <w:szCs w:val="32"/>
        </w:rPr>
        <w:t>则</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为规范本科生课程重修组织与管理，保证重修课程的教学质量，根据《淮阴工学院学生管理规定》等文件精神，结合学校实际情况，</w:t>
      </w:r>
      <w:r>
        <w:rPr>
          <w:rFonts w:ascii="仿宋_GB2312" w:eastAsia="仿宋_GB2312" w:hint="eastAsia"/>
          <w:sz w:val="32"/>
          <w:szCs w:val="32"/>
        </w:rPr>
        <w:t>制定本办法。</w:t>
      </w:r>
    </w:p>
    <w:p w:rsidR="00000000" w:rsidRDefault="003B355F">
      <w:pPr>
        <w:spacing w:line="580" w:lineRule="exact"/>
        <w:ind w:firstLine="643"/>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hint="eastAsia"/>
          <w:sz w:val="32"/>
          <w:szCs w:val="32"/>
        </w:rPr>
        <w:t xml:space="preserve">  </w:t>
      </w:r>
      <w:r>
        <w:rPr>
          <w:rFonts w:ascii="黑体" w:eastAsia="黑体" w:hAnsi="黑体" w:hint="eastAsia"/>
          <w:sz w:val="32"/>
          <w:szCs w:val="32"/>
        </w:rPr>
        <w:t>重修范围</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w:t>
      </w:r>
      <w:r>
        <w:rPr>
          <w:rFonts w:ascii="仿宋_GB2312" w:eastAsia="仿宋_GB2312" w:hint="eastAsia"/>
          <w:sz w:val="32"/>
          <w:szCs w:val="32"/>
        </w:rPr>
        <w:t>在本科专业人才培养方案规定的学习年限内，依据学生所修课程学分、绩点情况，重修分为学分重修和绩点重修。</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w:t>
      </w:r>
      <w:r>
        <w:rPr>
          <w:rFonts w:ascii="仿宋_GB2312" w:eastAsia="仿宋_GB2312" w:hint="eastAsia"/>
          <w:sz w:val="32"/>
          <w:szCs w:val="32"/>
        </w:rPr>
        <w:t>学生修读完课程但未取得相应学分，重修该课程以取得学分称为学分重修。学分重修课程包括以下几种情形：</w:t>
      </w:r>
    </w:p>
    <w:p w:rsidR="00000000" w:rsidRDefault="003B355F">
      <w:pPr>
        <w:spacing w:line="580" w:lineRule="exact"/>
        <w:ind w:firstLineChars="200" w:firstLine="640"/>
        <w:rPr>
          <w:rFonts w:ascii="仿宋_GB2312" w:eastAsia="仿宋_GB2312"/>
          <w:sz w:val="32"/>
          <w:szCs w:val="32"/>
        </w:rPr>
      </w:pPr>
      <w:r>
        <w:rPr>
          <w:rFonts w:ascii="仿宋_GB2312" w:eastAsia="仿宋_GB2312" w:hint="eastAsia"/>
          <w:sz w:val="32"/>
          <w:szCs w:val="32"/>
        </w:rPr>
        <w:t>（一）理论课程考核不及格且补考后仍不及格，或者缓考不及格的；</w:t>
      </w:r>
    </w:p>
    <w:p w:rsidR="00000000" w:rsidRDefault="003B355F">
      <w:pPr>
        <w:spacing w:line="580" w:lineRule="exact"/>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Ansi="宋体" w:hint="eastAsia"/>
          <w:sz w:val="32"/>
          <w:szCs w:val="32"/>
        </w:rPr>
        <w:t>实验、实习、课程设计、毕业设计等实践教学考核不及格</w:t>
      </w:r>
      <w:r>
        <w:rPr>
          <w:rFonts w:ascii="仿宋_GB2312" w:eastAsia="仿宋_GB2312" w:hint="eastAsia"/>
          <w:sz w:val="32"/>
          <w:szCs w:val="32"/>
        </w:rPr>
        <w:t>的；</w:t>
      </w:r>
    </w:p>
    <w:p w:rsidR="00000000" w:rsidRDefault="003B355F">
      <w:pPr>
        <w:spacing w:line="580" w:lineRule="exact"/>
        <w:ind w:firstLineChars="200" w:firstLine="640"/>
        <w:rPr>
          <w:rFonts w:ascii="仿宋_GB2312" w:eastAsia="仿宋_GB2312"/>
          <w:sz w:val="32"/>
          <w:szCs w:val="32"/>
        </w:rPr>
      </w:pPr>
      <w:r>
        <w:rPr>
          <w:rFonts w:ascii="仿宋_GB2312" w:eastAsia="仿宋_GB2312" w:hint="eastAsia"/>
          <w:sz w:val="32"/>
          <w:szCs w:val="32"/>
        </w:rPr>
        <w:t>（三）因缺考或因缺课、缺交作业等被取消考试资格的；</w:t>
      </w:r>
    </w:p>
    <w:p w:rsidR="00000000" w:rsidRDefault="003B355F">
      <w:pPr>
        <w:spacing w:line="580" w:lineRule="exact"/>
        <w:ind w:firstLineChars="200" w:firstLine="640"/>
        <w:rPr>
          <w:rFonts w:ascii="仿宋_GB2312" w:eastAsia="仿宋_GB2312" w:hAnsi="宋体"/>
          <w:sz w:val="32"/>
          <w:szCs w:val="32"/>
        </w:rPr>
      </w:pPr>
      <w:r>
        <w:rPr>
          <w:rFonts w:ascii="仿宋_GB2312" w:eastAsia="仿宋_GB2312" w:hint="eastAsia"/>
          <w:sz w:val="32"/>
          <w:szCs w:val="32"/>
        </w:rPr>
        <w:t>（四）因违反课程考核纪律或作弊的。</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w:t>
      </w:r>
      <w:r>
        <w:rPr>
          <w:rFonts w:ascii="仿宋_GB2312" w:eastAsia="仿宋_GB2312" w:hint="eastAsia"/>
          <w:sz w:val="32"/>
          <w:szCs w:val="32"/>
        </w:rPr>
        <w:t>学生已取得该课程相应学分，重修该课程</w:t>
      </w:r>
      <w:r>
        <w:rPr>
          <w:rFonts w:ascii="仿宋_GB2312" w:eastAsia="仿宋_GB2312" w:hint="eastAsia"/>
          <w:sz w:val="32"/>
          <w:szCs w:val="32"/>
        </w:rPr>
        <w:t>以提高绩点称为绩点重修。</w:t>
      </w:r>
    </w:p>
    <w:p w:rsidR="00000000" w:rsidRDefault="003B355F">
      <w:pPr>
        <w:spacing w:line="580" w:lineRule="exact"/>
        <w:ind w:firstLine="643"/>
        <w:jc w:val="center"/>
        <w:rPr>
          <w:rFonts w:ascii="黑体" w:eastAsia="黑体" w:hAnsi="黑体"/>
          <w:sz w:val="32"/>
          <w:szCs w:val="32"/>
        </w:rPr>
      </w:pPr>
      <w:r>
        <w:rPr>
          <w:rFonts w:ascii="黑体" w:eastAsia="黑体" w:hAnsi="黑体" w:hint="eastAsia"/>
          <w:sz w:val="32"/>
          <w:szCs w:val="32"/>
        </w:rPr>
        <w:lastRenderedPageBreak/>
        <w:t>第三章</w:t>
      </w:r>
      <w:r>
        <w:rPr>
          <w:rFonts w:ascii="黑体" w:eastAsia="黑体" w:hAnsi="黑体" w:hint="eastAsia"/>
          <w:sz w:val="32"/>
          <w:szCs w:val="32"/>
        </w:rPr>
        <w:t xml:space="preserve">  </w:t>
      </w:r>
      <w:r>
        <w:rPr>
          <w:rFonts w:ascii="黑体" w:eastAsia="黑体" w:hAnsi="黑体" w:hint="eastAsia"/>
          <w:sz w:val="32"/>
          <w:szCs w:val="32"/>
        </w:rPr>
        <w:t>重修方式</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w:t>
      </w:r>
      <w:r>
        <w:rPr>
          <w:rFonts w:ascii="仿宋_GB2312" w:eastAsia="仿宋_GB2312" w:hint="eastAsia"/>
          <w:sz w:val="32"/>
          <w:szCs w:val="32"/>
        </w:rPr>
        <w:t>课程重修方式分为跟班重修、单开班重修和辅导重修。</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w:t>
      </w:r>
      <w:r>
        <w:rPr>
          <w:rFonts w:ascii="仿宋_GB2312" w:eastAsia="仿宋_GB2312" w:hint="eastAsia"/>
          <w:sz w:val="32"/>
          <w:szCs w:val="32"/>
        </w:rPr>
        <w:t>课程重修原则上采取跟班重修。跟班重修是指学生跟随相同课程教学班听课并参加考核。学生应优先选修相同课程重修。</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sz w:val="32"/>
          <w:szCs w:val="32"/>
        </w:rPr>
        <w:t xml:space="preserve">  </w:t>
      </w:r>
      <w:r>
        <w:rPr>
          <w:rFonts w:ascii="仿宋_GB2312" w:eastAsia="仿宋_GB2312" w:hint="eastAsia"/>
          <w:sz w:val="32"/>
          <w:szCs w:val="32"/>
        </w:rPr>
        <w:t>单开班重修是指开课单位单独开设重修班。通识课、学科基础课单开班重修人数要求达到</w:t>
      </w:r>
      <w:r>
        <w:rPr>
          <w:rFonts w:ascii="仿宋_GB2312" w:eastAsia="仿宋_GB2312" w:hint="eastAsia"/>
          <w:sz w:val="32"/>
          <w:szCs w:val="32"/>
        </w:rPr>
        <w:t>25</w:t>
      </w:r>
      <w:r>
        <w:rPr>
          <w:rFonts w:ascii="仿宋_GB2312" w:eastAsia="仿宋_GB2312" w:hint="eastAsia"/>
          <w:sz w:val="32"/>
          <w:szCs w:val="32"/>
        </w:rPr>
        <w:t>人及以上、专业课单开班重修人数要求达到</w:t>
      </w:r>
      <w:r>
        <w:rPr>
          <w:rFonts w:ascii="仿宋_GB2312" w:eastAsia="仿宋_GB2312" w:hint="eastAsia"/>
          <w:sz w:val="32"/>
          <w:szCs w:val="32"/>
        </w:rPr>
        <w:t>15</w:t>
      </w:r>
      <w:r>
        <w:rPr>
          <w:rFonts w:ascii="仿宋_GB2312" w:eastAsia="仿宋_GB2312" w:hint="eastAsia"/>
          <w:sz w:val="32"/>
          <w:szCs w:val="32"/>
        </w:rPr>
        <w:t>人及以上。</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sz w:val="32"/>
          <w:szCs w:val="32"/>
        </w:rPr>
        <w:t xml:space="preserve">  </w:t>
      </w:r>
      <w:r>
        <w:rPr>
          <w:rFonts w:ascii="仿宋_GB2312" w:eastAsia="仿宋_GB2312" w:hint="eastAsia"/>
          <w:sz w:val="32"/>
          <w:szCs w:val="32"/>
        </w:rPr>
        <w:t>辅导重修是指任课教师以辅导形式指导学生进行课程学习。因本科专业人才培养方案、招生专业调整等原因，不再开设相同课程，或者课程内容变化较</w:t>
      </w:r>
      <w:r>
        <w:rPr>
          <w:rFonts w:ascii="仿宋_GB2312" w:eastAsia="仿宋_GB2312" w:hint="eastAsia"/>
          <w:sz w:val="32"/>
          <w:szCs w:val="32"/>
        </w:rPr>
        <w:t>大且不符合单开班条件的，由学生所在教学单位提出申请，经教务处审核同意后，可以采取辅导重修。重修人数不符合单开班人数规定，因特殊情况经分管校领导批准，可以采取辅导重修。</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第九条</w:t>
      </w:r>
      <w:r>
        <w:rPr>
          <w:rFonts w:ascii="仿宋_GB2312" w:eastAsia="仿宋_GB2312" w:hint="eastAsia"/>
          <w:sz w:val="32"/>
          <w:szCs w:val="32"/>
        </w:rPr>
        <w:t xml:space="preserve">  </w:t>
      </w:r>
      <w:r>
        <w:rPr>
          <w:rFonts w:ascii="仿宋_GB2312" w:eastAsia="仿宋_GB2312" w:hint="eastAsia"/>
          <w:sz w:val="32"/>
          <w:szCs w:val="32"/>
        </w:rPr>
        <w:t>公共选修课考核不及格不安排重修，学生可以重新选学；专业选修课程、拓展课程重修的，学生可以选修原课程或经学生所在教学单位批准选修符合本科专业人才培养方案要求的其他课程。</w:t>
      </w:r>
    </w:p>
    <w:p w:rsidR="00000000" w:rsidRDefault="003B355F">
      <w:pPr>
        <w:spacing w:line="580" w:lineRule="exact"/>
        <w:ind w:firstLine="643"/>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hint="eastAsia"/>
          <w:sz w:val="32"/>
          <w:szCs w:val="32"/>
        </w:rPr>
        <w:t xml:space="preserve">  </w:t>
      </w:r>
      <w:r>
        <w:rPr>
          <w:rFonts w:ascii="黑体" w:eastAsia="黑体" w:hAnsi="黑体" w:hint="eastAsia"/>
          <w:sz w:val="32"/>
          <w:szCs w:val="32"/>
        </w:rPr>
        <w:t>重修组织与管理</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w:t>
      </w:r>
      <w:r>
        <w:rPr>
          <w:rFonts w:ascii="仿宋_GB2312" w:eastAsia="仿宋_GB2312" w:hint="eastAsia"/>
          <w:sz w:val="32"/>
          <w:szCs w:val="32"/>
        </w:rPr>
        <w:t>每学期补考结束一周后，组织重修报名，符合单开</w:t>
      </w:r>
      <w:r>
        <w:rPr>
          <w:rFonts w:ascii="仿宋_GB2312" w:eastAsia="仿宋_GB2312" w:hint="eastAsia"/>
          <w:sz w:val="32"/>
          <w:szCs w:val="32"/>
        </w:rPr>
        <w:lastRenderedPageBreak/>
        <w:t>班重修人数要求的，开课单位应在补考结束两周内开重修班，上课时间可以安排在双休日或晚上。</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w:t>
      </w:r>
      <w:r>
        <w:rPr>
          <w:rFonts w:ascii="仿宋_GB2312" w:eastAsia="仿宋_GB2312" w:hint="eastAsia"/>
          <w:sz w:val="32"/>
          <w:szCs w:val="32"/>
        </w:rPr>
        <w:t>重修课程的管理由开课单位负责。</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w:t>
      </w:r>
      <w:r>
        <w:rPr>
          <w:rFonts w:ascii="仿宋_GB2312" w:eastAsia="仿宋_GB2312" w:hint="eastAsia"/>
          <w:sz w:val="32"/>
          <w:szCs w:val="32"/>
        </w:rPr>
        <w:t>在规定的学习年限内，学生原则上对同一门课程学分重修次数不限，绩点重修次数仅限一次。</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w:t>
      </w:r>
      <w:r>
        <w:rPr>
          <w:rFonts w:ascii="仿宋_GB2312" w:eastAsia="仿宋_GB2312" w:hint="eastAsia"/>
          <w:sz w:val="32"/>
          <w:szCs w:val="32"/>
        </w:rPr>
        <w:t>因人才培养方案调整、招生专业调整等原因，学生可以申请修读符合本科专业人才培养方案规定的相近课程作为替代课程重修。相近课程应与已修课程教学内容相似度达到</w:t>
      </w:r>
      <w:r>
        <w:rPr>
          <w:rFonts w:ascii="仿宋_GB2312" w:eastAsia="仿宋_GB2312" w:hint="eastAsia"/>
          <w:sz w:val="32"/>
          <w:szCs w:val="32"/>
        </w:rPr>
        <w:t>70%</w:t>
      </w:r>
      <w:r>
        <w:rPr>
          <w:rFonts w:ascii="仿宋_GB2312" w:eastAsia="仿宋_GB2312" w:hint="eastAsia"/>
          <w:sz w:val="32"/>
          <w:szCs w:val="32"/>
        </w:rPr>
        <w:t>以上，相近课程的替代由学生所在教学单位提出申请，开课单位审核，经教务处批准后执行。</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跟班重修课程与其他课程教学冲突时，经任课教师同意可以申请免听或者间听，但必须在完成平时作业、参加测验和实验</w:t>
      </w:r>
      <w:r>
        <w:rPr>
          <w:rFonts w:ascii="仿宋_GB2312" w:eastAsia="仿宋_GB2312" w:hint="eastAsia"/>
          <w:sz w:val="32"/>
          <w:szCs w:val="32"/>
        </w:rPr>
        <w:t>前提下，方可参加期末考核。</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辅导重修任课教师应提前将集中辅导时间和地点向学生公布</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第十六条</w:t>
      </w:r>
      <w:r>
        <w:rPr>
          <w:rFonts w:ascii="仿宋_GB2312" w:eastAsia="仿宋_GB2312" w:hint="eastAsia"/>
          <w:sz w:val="32"/>
          <w:szCs w:val="32"/>
        </w:rPr>
        <w:t xml:space="preserve">  </w:t>
      </w:r>
      <w:r>
        <w:rPr>
          <w:rFonts w:ascii="仿宋_GB2312" w:eastAsia="仿宋_GB2312" w:hint="eastAsia"/>
          <w:sz w:val="32"/>
          <w:szCs w:val="32"/>
        </w:rPr>
        <w:t>重修课程的考核按照《淮阴工学院普通本科生课程考核工作规程》执行。</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w:t>
      </w:r>
      <w:r>
        <w:rPr>
          <w:rFonts w:ascii="仿宋_GB2312" w:eastAsia="仿宋_GB2312" w:hint="eastAsia"/>
          <w:sz w:val="32"/>
          <w:szCs w:val="32"/>
        </w:rPr>
        <w:t>如重修课程考试与正常课程考试时间冲突，学生原则上选择正常考试课程办理缓考手续。</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单开班重修课程、辅导重修课程的开课学时应不少于计划学时的</w:t>
      </w:r>
      <w:r>
        <w:rPr>
          <w:rFonts w:ascii="仿宋_GB2312" w:eastAsia="仿宋_GB2312" w:hint="eastAsia"/>
          <w:sz w:val="32"/>
          <w:szCs w:val="32"/>
        </w:rPr>
        <w:t>1/3</w:t>
      </w:r>
      <w:r>
        <w:rPr>
          <w:rFonts w:ascii="仿宋_GB2312" w:eastAsia="仿宋_GB2312" w:hint="eastAsia"/>
          <w:sz w:val="32"/>
          <w:szCs w:val="32"/>
        </w:rPr>
        <w:t>，且至少</w:t>
      </w:r>
      <w:r>
        <w:rPr>
          <w:rFonts w:ascii="仿宋_GB2312" w:eastAsia="仿宋_GB2312" w:hint="eastAsia"/>
          <w:sz w:val="32"/>
          <w:szCs w:val="32"/>
        </w:rPr>
        <w:t>8</w:t>
      </w:r>
      <w:r>
        <w:rPr>
          <w:rFonts w:ascii="仿宋_GB2312" w:eastAsia="仿宋_GB2312" w:hint="eastAsia"/>
          <w:sz w:val="32"/>
          <w:szCs w:val="32"/>
        </w:rPr>
        <w:t>学时。</w:t>
      </w:r>
    </w:p>
    <w:p w:rsidR="00000000" w:rsidRDefault="003B355F">
      <w:pPr>
        <w:spacing w:line="580" w:lineRule="exact"/>
        <w:ind w:firstLine="643"/>
        <w:jc w:val="center"/>
        <w:rPr>
          <w:rFonts w:ascii="黑体" w:eastAsia="黑体" w:hAnsi="黑体" w:hint="eastAsia"/>
          <w:sz w:val="32"/>
          <w:szCs w:val="32"/>
        </w:rPr>
        <w:sectPr w:rsidR="00000000">
          <w:footerReference w:type="default" r:id="rId8"/>
          <w:pgSz w:w="11906" w:h="16838"/>
          <w:pgMar w:top="2098" w:right="1474" w:bottom="1985" w:left="1588" w:header="851" w:footer="1361" w:gutter="0"/>
          <w:pgNumType w:fmt="numberInDash" w:chapSep="emDash"/>
          <w:cols w:space="720"/>
          <w:docGrid w:type="lines" w:linePitch="312"/>
        </w:sectPr>
      </w:pPr>
    </w:p>
    <w:p w:rsidR="00000000" w:rsidRDefault="003B355F">
      <w:pPr>
        <w:spacing w:line="580" w:lineRule="exact"/>
        <w:ind w:firstLine="643"/>
        <w:jc w:val="center"/>
        <w:rPr>
          <w:rFonts w:ascii="仿宋_GB2312" w:eastAsia="仿宋_GB2312"/>
          <w:b/>
          <w:sz w:val="32"/>
          <w:szCs w:val="32"/>
        </w:rPr>
      </w:pPr>
      <w:r>
        <w:rPr>
          <w:rFonts w:ascii="黑体" w:eastAsia="黑体" w:hAnsi="黑体" w:hint="eastAsia"/>
          <w:sz w:val="32"/>
          <w:szCs w:val="32"/>
        </w:rPr>
        <w:lastRenderedPageBreak/>
        <w:t>第五章</w:t>
      </w:r>
      <w:r>
        <w:rPr>
          <w:rFonts w:ascii="黑体" w:eastAsia="黑体" w:hAnsi="黑体" w:hint="eastAsia"/>
          <w:sz w:val="32"/>
          <w:szCs w:val="32"/>
        </w:rPr>
        <w:t xml:space="preserve">  </w:t>
      </w:r>
      <w:r>
        <w:rPr>
          <w:rFonts w:ascii="黑体" w:eastAsia="黑体" w:hAnsi="黑体" w:hint="eastAsia"/>
          <w:sz w:val="32"/>
          <w:szCs w:val="32"/>
        </w:rPr>
        <w:t>重修教学工作量</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第十九条</w:t>
      </w:r>
      <w:r>
        <w:rPr>
          <w:rFonts w:ascii="仿宋_GB2312" w:eastAsia="仿宋_GB2312" w:hint="eastAsia"/>
          <w:b/>
          <w:sz w:val="32"/>
          <w:szCs w:val="32"/>
        </w:rPr>
        <w:t xml:space="preserve"> </w:t>
      </w:r>
      <w:r>
        <w:rPr>
          <w:rFonts w:ascii="仿宋_GB2312" w:eastAsia="仿宋_GB2312" w:hint="eastAsia"/>
          <w:sz w:val="32"/>
          <w:szCs w:val="32"/>
        </w:rPr>
        <w:t xml:space="preserve"> </w:t>
      </w:r>
      <w:r>
        <w:rPr>
          <w:rFonts w:ascii="仿宋_GB2312" w:eastAsia="仿宋_GB2312" w:hint="eastAsia"/>
          <w:sz w:val="32"/>
          <w:szCs w:val="32"/>
        </w:rPr>
        <w:t>单开班重修选课人数不多于标准班人数的，教学工作量以实际开课学时计算；选课人数多于标准班人数的，教学工作量按人数系数计</w:t>
      </w:r>
      <w:r>
        <w:rPr>
          <w:rFonts w:ascii="仿宋_GB2312" w:eastAsia="仿宋_GB2312" w:hint="eastAsia"/>
          <w:sz w:val="32"/>
          <w:szCs w:val="32"/>
        </w:rPr>
        <w:t>算。辅导重修的教学工作量以实际辅导学时计算。</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重修课程的教学工作量纳入当前学期教学工作量计算。</w:t>
      </w:r>
    </w:p>
    <w:p w:rsidR="00000000" w:rsidRDefault="003B355F">
      <w:pPr>
        <w:spacing w:line="580" w:lineRule="exact"/>
        <w:ind w:firstLine="643"/>
        <w:jc w:val="center"/>
        <w:rPr>
          <w:rFonts w:ascii="仿宋_GB2312" w:eastAsia="仿宋_GB2312"/>
          <w:sz w:val="32"/>
          <w:szCs w:val="32"/>
        </w:rPr>
      </w:pPr>
      <w:r>
        <w:rPr>
          <w:rFonts w:ascii="黑体" w:eastAsia="黑体" w:hAnsi="黑体" w:hint="eastAsia"/>
          <w:sz w:val="32"/>
          <w:szCs w:val="32"/>
        </w:rPr>
        <w:t>第六章</w:t>
      </w:r>
      <w:r>
        <w:rPr>
          <w:rFonts w:ascii="黑体" w:eastAsia="黑体" w:hAnsi="黑体" w:hint="eastAsia"/>
          <w:sz w:val="32"/>
          <w:szCs w:val="32"/>
        </w:rPr>
        <w:t xml:space="preserve">  </w:t>
      </w:r>
      <w:r>
        <w:rPr>
          <w:rFonts w:ascii="黑体" w:eastAsia="黑体" w:hAnsi="黑体" w:hint="eastAsia"/>
          <w:sz w:val="32"/>
          <w:szCs w:val="32"/>
        </w:rPr>
        <w:t>重修学分收费</w:t>
      </w:r>
    </w:p>
    <w:p w:rsidR="00000000" w:rsidRDefault="003B355F">
      <w:pPr>
        <w:spacing w:line="580" w:lineRule="exact"/>
        <w:ind w:firstLineChars="200" w:firstLine="643"/>
        <w:rPr>
          <w:rFonts w:ascii="仿宋_GB2312" w:eastAsia="仿宋_GB2312"/>
          <w:sz w:val="32"/>
          <w:szCs w:val="32"/>
        </w:rPr>
      </w:pPr>
      <w:r>
        <w:rPr>
          <w:rFonts w:ascii="仿宋_GB2312" w:eastAsia="仿宋_GB2312" w:hint="eastAsia"/>
          <w:b/>
          <w:sz w:val="32"/>
          <w:szCs w:val="32"/>
        </w:rPr>
        <w:t>第二十一条</w:t>
      </w:r>
      <w:r>
        <w:rPr>
          <w:rFonts w:ascii="仿宋_GB2312" w:eastAsia="仿宋_GB2312" w:hint="eastAsia"/>
          <w:sz w:val="32"/>
          <w:szCs w:val="32"/>
        </w:rPr>
        <w:t xml:space="preserve">  </w:t>
      </w:r>
      <w:r>
        <w:rPr>
          <w:rFonts w:ascii="仿宋_GB2312" w:eastAsia="仿宋_GB2312" w:hint="eastAsia"/>
          <w:sz w:val="32"/>
          <w:szCs w:val="32"/>
        </w:rPr>
        <w:t>除国家政策规定免收费用的情形外，重修课程学分学费根据《淮阴工学院学</w:t>
      </w:r>
      <w:r>
        <w:rPr>
          <w:rFonts w:ascii="仿宋_GB2312" w:eastAsia="仿宋_GB2312" w:hint="eastAsia"/>
          <w:sz w:val="32"/>
          <w:szCs w:val="32"/>
        </w:rPr>
        <w:t>分学</w:t>
      </w:r>
      <w:r>
        <w:rPr>
          <w:rFonts w:ascii="仿宋_GB2312" w:eastAsia="仿宋_GB2312" w:hint="eastAsia"/>
          <w:sz w:val="32"/>
          <w:szCs w:val="32"/>
        </w:rPr>
        <w:t>费管理办法（修订）》收取。</w:t>
      </w:r>
    </w:p>
    <w:p w:rsidR="00000000" w:rsidRDefault="003B355F">
      <w:pPr>
        <w:spacing w:line="580" w:lineRule="exact"/>
        <w:ind w:firstLine="643"/>
        <w:jc w:val="center"/>
        <w:rPr>
          <w:rFonts w:ascii="黑体" w:eastAsia="黑体" w:hAnsi="黑体"/>
          <w:sz w:val="32"/>
          <w:szCs w:val="32"/>
        </w:rPr>
      </w:pPr>
      <w:r>
        <w:rPr>
          <w:rFonts w:ascii="黑体" w:eastAsia="黑体" w:hAnsi="黑体" w:hint="eastAsia"/>
          <w:sz w:val="32"/>
          <w:szCs w:val="32"/>
        </w:rPr>
        <w:t>第七章</w:t>
      </w:r>
      <w:r>
        <w:rPr>
          <w:rFonts w:ascii="黑体" w:eastAsia="黑体" w:hAnsi="黑体" w:hint="eastAsia"/>
          <w:sz w:val="32"/>
          <w:szCs w:val="32"/>
        </w:rPr>
        <w:t xml:space="preserve">  </w:t>
      </w:r>
      <w:r>
        <w:rPr>
          <w:rFonts w:ascii="黑体" w:eastAsia="黑体" w:hAnsi="黑体" w:hint="eastAsia"/>
          <w:sz w:val="32"/>
          <w:szCs w:val="32"/>
        </w:rPr>
        <w:t>附</w:t>
      </w:r>
      <w:r>
        <w:rPr>
          <w:rFonts w:ascii="黑体" w:eastAsia="黑体" w:hAnsi="黑体" w:hint="eastAsia"/>
          <w:sz w:val="32"/>
          <w:szCs w:val="32"/>
        </w:rPr>
        <w:t xml:space="preserve">  </w:t>
      </w:r>
      <w:r>
        <w:rPr>
          <w:rFonts w:ascii="黑体" w:eastAsia="黑体" w:hAnsi="黑体" w:hint="eastAsia"/>
          <w:sz w:val="32"/>
          <w:szCs w:val="32"/>
        </w:rPr>
        <w:t>则</w:t>
      </w:r>
    </w:p>
    <w:p w:rsidR="00000000" w:rsidRDefault="003B355F">
      <w:pPr>
        <w:spacing w:line="580" w:lineRule="exact"/>
        <w:ind w:firstLineChars="200" w:firstLine="643"/>
      </w:pPr>
      <w:r>
        <w:rPr>
          <w:rFonts w:ascii="仿宋_GB2312" w:eastAsia="仿宋_GB2312" w:hint="eastAsia"/>
          <w:b/>
          <w:sz w:val="32"/>
          <w:szCs w:val="32"/>
        </w:rPr>
        <w:t>第二十二条</w:t>
      </w:r>
      <w:r>
        <w:rPr>
          <w:rFonts w:ascii="仿宋_GB2312" w:eastAsia="仿宋_GB2312" w:hint="eastAsia"/>
          <w:sz w:val="32"/>
          <w:szCs w:val="32"/>
        </w:rPr>
        <w:t xml:space="preserve">  </w:t>
      </w:r>
      <w:r>
        <w:rPr>
          <w:rFonts w:ascii="仿宋_GB2312" w:eastAsia="仿宋_GB2312" w:hint="eastAsia"/>
          <w:sz w:val="32"/>
          <w:szCs w:val="32"/>
        </w:rPr>
        <w:t>本办法由教务处负责解释，自发布之日起施行。《淮阴工学院普通本科生课程重修管理规定》（淮工院〔</w:t>
      </w:r>
      <w:r>
        <w:rPr>
          <w:rFonts w:ascii="仿宋_GB2312" w:eastAsia="仿宋_GB2312" w:hint="eastAsia"/>
          <w:sz w:val="32"/>
          <w:szCs w:val="32"/>
        </w:rPr>
        <w:t>2017</w:t>
      </w:r>
      <w:r>
        <w:rPr>
          <w:rFonts w:ascii="仿宋_GB2312" w:eastAsia="仿宋_GB2312" w:hint="eastAsia"/>
          <w:sz w:val="32"/>
          <w:szCs w:val="32"/>
        </w:rPr>
        <w:t>〕</w:t>
      </w:r>
      <w:r>
        <w:rPr>
          <w:rFonts w:ascii="仿宋_GB2312" w:eastAsia="仿宋_GB2312" w:hint="eastAsia"/>
          <w:sz w:val="32"/>
          <w:szCs w:val="32"/>
        </w:rPr>
        <w:t>103</w:t>
      </w:r>
      <w:r>
        <w:rPr>
          <w:rFonts w:ascii="仿宋_GB2312" w:eastAsia="仿宋_GB2312" w:hint="eastAsia"/>
          <w:sz w:val="32"/>
          <w:szCs w:val="32"/>
        </w:rPr>
        <w:t>号）同时废止。</w:t>
      </w:r>
    </w:p>
    <w:p w:rsidR="00000000" w:rsidRDefault="003B355F">
      <w:pPr>
        <w:snapToGrid w:val="0"/>
        <w:ind w:firstLineChars="1800" w:firstLine="5760"/>
        <w:jc w:val="left"/>
        <w:rPr>
          <w:rFonts w:ascii="仿宋_GB2312" w:eastAsia="仿宋_GB2312" w:hint="eastAsia"/>
          <w:color w:val="000000"/>
          <w:sz w:val="32"/>
          <w:szCs w:val="32"/>
        </w:rPr>
      </w:pPr>
    </w:p>
    <w:p w:rsidR="00000000" w:rsidRDefault="003B355F">
      <w:pPr>
        <w:tabs>
          <w:tab w:val="left" w:pos="7140"/>
          <w:tab w:val="left" w:pos="7350"/>
        </w:tabs>
        <w:spacing w:line="240" w:lineRule="exact"/>
        <w:rPr>
          <w:rFonts w:ascii="仿宋_GB2312" w:eastAsia="仿宋_GB2312" w:hint="eastAsia"/>
          <w:color w:val="000000"/>
          <w:sz w:val="30"/>
          <w:szCs w:val="30"/>
        </w:rPr>
      </w:pPr>
    </w:p>
    <w:p w:rsidR="00000000" w:rsidRDefault="003B355F">
      <w:pPr>
        <w:tabs>
          <w:tab w:val="left" w:pos="7140"/>
          <w:tab w:val="left" w:pos="7350"/>
        </w:tabs>
        <w:spacing w:line="240" w:lineRule="exact"/>
        <w:rPr>
          <w:rFonts w:ascii="仿宋_GB2312" w:eastAsia="仿宋_GB2312" w:hint="eastAsia"/>
          <w:color w:val="000000"/>
          <w:sz w:val="30"/>
          <w:szCs w:val="30"/>
        </w:rPr>
      </w:pPr>
    </w:p>
    <w:p w:rsidR="00000000" w:rsidRDefault="003B355F">
      <w:pPr>
        <w:tabs>
          <w:tab w:val="left" w:pos="7140"/>
          <w:tab w:val="left" w:pos="7350"/>
        </w:tabs>
        <w:spacing w:line="240" w:lineRule="exact"/>
        <w:rPr>
          <w:rFonts w:ascii="仿宋_GB2312" w:eastAsia="仿宋_GB2312" w:hint="eastAsia"/>
          <w:color w:val="000000"/>
          <w:sz w:val="30"/>
          <w:szCs w:val="30"/>
        </w:rPr>
      </w:pPr>
    </w:p>
    <w:p w:rsidR="00000000" w:rsidRDefault="003B355F">
      <w:pPr>
        <w:tabs>
          <w:tab w:val="left" w:pos="7140"/>
          <w:tab w:val="left" w:pos="7350"/>
        </w:tabs>
        <w:spacing w:line="240" w:lineRule="exact"/>
        <w:rPr>
          <w:rFonts w:ascii="仿宋_GB2312" w:eastAsia="仿宋_GB2312" w:hint="eastAsia"/>
          <w:color w:val="000000"/>
          <w:sz w:val="30"/>
          <w:szCs w:val="30"/>
        </w:rPr>
      </w:pPr>
    </w:p>
    <w:p w:rsidR="00000000" w:rsidRDefault="003B355F">
      <w:pPr>
        <w:tabs>
          <w:tab w:val="left" w:pos="7140"/>
          <w:tab w:val="left" w:pos="7350"/>
        </w:tabs>
        <w:spacing w:line="240" w:lineRule="exact"/>
        <w:rPr>
          <w:rFonts w:ascii="仿宋_GB2312" w:eastAsia="仿宋_GB2312" w:hint="eastAsia"/>
          <w:color w:val="000000"/>
          <w:sz w:val="30"/>
          <w:szCs w:val="30"/>
        </w:rPr>
      </w:pPr>
    </w:p>
    <w:p w:rsidR="00000000" w:rsidRDefault="003B355F">
      <w:pPr>
        <w:tabs>
          <w:tab w:val="left" w:pos="7140"/>
          <w:tab w:val="left" w:pos="7350"/>
        </w:tabs>
        <w:spacing w:line="240" w:lineRule="exact"/>
        <w:rPr>
          <w:rFonts w:ascii="仿宋_GB2312" w:eastAsia="仿宋_GB2312" w:hint="eastAsia"/>
          <w:color w:val="000000"/>
          <w:sz w:val="30"/>
          <w:szCs w:val="30"/>
        </w:rPr>
      </w:pPr>
    </w:p>
    <w:p w:rsidR="00000000" w:rsidRDefault="003B355F">
      <w:pPr>
        <w:tabs>
          <w:tab w:val="left" w:pos="7140"/>
          <w:tab w:val="left" w:pos="7350"/>
        </w:tabs>
        <w:spacing w:line="240" w:lineRule="exact"/>
        <w:rPr>
          <w:rFonts w:ascii="仿宋_GB2312" w:eastAsia="仿宋_GB2312" w:hint="eastAsia"/>
          <w:color w:val="000000"/>
          <w:sz w:val="32"/>
          <w:szCs w:val="32"/>
        </w:rPr>
      </w:pPr>
    </w:p>
    <w:p w:rsidR="00000000" w:rsidRDefault="003B355F">
      <w:pPr>
        <w:tabs>
          <w:tab w:val="left" w:pos="7140"/>
          <w:tab w:val="left" w:pos="7350"/>
        </w:tabs>
        <w:spacing w:line="240" w:lineRule="exact"/>
        <w:rPr>
          <w:rFonts w:ascii="仿宋_GB2312" w:eastAsia="仿宋_GB2312" w:hint="eastAsia"/>
          <w:color w:val="000000"/>
          <w:sz w:val="32"/>
          <w:szCs w:val="32"/>
        </w:rPr>
      </w:pPr>
    </w:p>
    <w:p w:rsidR="00000000" w:rsidRDefault="003B355F">
      <w:pPr>
        <w:tabs>
          <w:tab w:val="left" w:pos="7140"/>
          <w:tab w:val="left" w:pos="7350"/>
        </w:tabs>
        <w:spacing w:line="240" w:lineRule="exact"/>
        <w:rPr>
          <w:rFonts w:ascii="仿宋_GB2312" w:eastAsia="仿宋_GB2312" w:hint="eastAsia"/>
          <w:color w:val="000000"/>
          <w:sz w:val="32"/>
          <w:szCs w:val="32"/>
        </w:rPr>
      </w:pPr>
    </w:p>
    <w:p w:rsidR="00000000" w:rsidRDefault="003B355F">
      <w:pPr>
        <w:tabs>
          <w:tab w:val="left" w:pos="7140"/>
          <w:tab w:val="left" w:pos="7350"/>
        </w:tabs>
        <w:spacing w:line="240" w:lineRule="exact"/>
        <w:rPr>
          <w:rFonts w:ascii="仿宋_GB2312" w:eastAsia="仿宋_GB2312" w:hint="eastAsia"/>
          <w:color w:val="000000"/>
          <w:sz w:val="32"/>
          <w:szCs w:val="32"/>
        </w:rPr>
      </w:pPr>
    </w:p>
    <w:p w:rsidR="00000000" w:rsidRDefault="003B355F">
      <w:pPr>
        <w:tabs>
          <w:tab w:val="left" w:pos="7140"/>
          <w:tab w:val="left" w:pos="7350"/>
        </w:tabs>
        <w:spacing w:line="240" w:lineRule="exact"/>
        <w:rPr>
          <w:rFonts w:ascii="仿宋_GB2312" w:eastAsia="仿宋_GB2312" w:hint="eastAsia"/>
          <w:color w:val="000000"/>
          <w:sz w:val="32"/>
          <w:szCs w:val="32"/>
        </w:rPr>
      </w:pPr>
    </w:p>
    <w:p w:rsidR="00000000" w:rsidRDefault="003B355F">
      <w:pPr>
        <w:tabs>
          <w:tab w:val="left" w:pos="7140"/>
          <w:tab w:val="left" w:pos="7350"/>
        </w:tabs>
        <w:spacing w:line="240" w:lineRule="exact"/>
        <w:rPr>
          <w:rFonts w:ascii="仿宋_GB2312" w:eastAsia="仿宋_GB2312" w:hint="eastAsia"/>
          <w:color w:val="000000"/>
          <w:sz w:val="32"/>
          <w:szCs w:val="32"/>
        </w:rPr>
      </w:pPr>
    </w:p>
    <w:p w:rsidR="00000000" w:rsidRDefault="003B355F">
      <w:pPr>
        <w:tabs>
          <w:tab w:val="left" w:pos="7140"/>
          <w:tab w:val="left" w:pos="7350"/>
        </w:tabs>
        <w:spacing w:line="240" w:lineRule="exact"/>
        <w:rPr>
          <w:rFonts w:ascii="仿宋_GB2312" w:eastAsia="仿宋_GB2312" w:hint="eastAsia"/>
          <w:color w:val="000000"/>
          <w:sz w:val="32"/>
          <w:szCs w:val="32"/>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33"/>
      </w:tblGrid>
      <w:tr w:rsidR="00000000">
        <w:trPr>
          <w:trHeight w:val="549"/>
        </w:trPr>
        <w:tc>
          <w:tcPr>
            <w:tcW w:w="8833" w:type="dxa"/>
            <w:tcBorders>
              <w:left w:val="nil"/>
              <w:right w:val="nil"/>
            </w:tcBorders>
            <w:vAlign w:val="center"/>
          </w:tcPr>
          <w:p w:rsidR="00000000" w:rsidRDefault="003B355F">
            <w:pPr>
              <w:tabs>
                <w:tab w:val="left" w:pos="8292"/>
              </w:tabs>
              <w:spacing w:line="400" w:lineRule="exact"/>
              <w:ind w:right="312" w:firstLineChars="100" w:firstLine="280"/>
              <w:rPr>
                <w:rFonts w:ascii="仿宋_GB2312" w:eastAsia="仿宋_GB2312" w:hAnsi="宋体" w:cs="仿宋_GB2312"/>
                <w:sz w:val="28"/>
                <w:szCs w:val="28"/>
              </w:rPr>
            </w:pPr>
            <w:r>
              <w:rPr>
                <w:rFonts w:ascii="仿宋_GB2312" w:eastAsia="仿宋_GB2312" w:hAnsi="宋体" w:cs="仿宋_GB2312" w:hint="eastAsia"/>
                <w:sz w:val="28"/>
                <w:szCs w:val="28"/>
              </w:rPr>
              <w:t>淮阴工学院党政办公室</w:t>
            </w:r>
            <w:r>
              <w:rPr>
                <w:rFonts w:ascii="仿宋_GB2312" w:eastAsia="仿宋_GB2312" w:hAnsi="宋体" w:cs="仿宋_GB2312" w:hint="eastAsia"/>
                <w:sz w:val="28"/>
                <w:szCs w:val="28"/>
              </w:rPr>
              <w:t xml:space="preserve">                  2024</w:t>
            </w:r>
            <w:r>
              <w:rPr>
                <w:rFonts w:ascii="仿宋_GB2312" w:eastAsia="仿宋_GB2312" w:hAnsi="宋体" w:cs="仿宋_GB2312" w:hint="eastAsia"/>
                <w:sz w:val="28"/>
                <w:szCs w:val="28"/>
              </w:rPr>
              <w:t>年</w:t>
            </w:r>
            <w:r>
              <w:rPr>
                <w:rFonts w:ascii="仿宋_GB2312" w:eastAsia="仿宋_GB2312" w:hAnsi="宋体" w:cs="仿宋_GB2312" w:hint="eastAsia"/>
                <w:sz w:val="28"/>
                <w:szCs w:val="28"/>
              </w:rPr>
              <w:t>7</w:t>
            </w:r>
            <w:r>
              <w:rPr>
                <w:rFonts w:ascii="仿宋_GB2312" w:eastAsia="仿宋_GB2312" w:hAnsi="宋体" w:cs="仿宋_GB2312" w:hint="eastAsia"/>
                <w:sz w:val="28"/>
                <w:szCs w:val="28"/>
              </w:rPr>
              <w:t>月</w:t>
            </w:r>
            <w:r>
              <w:rPr>
                <w:rFonts w:ascii="仿宋_GB2312" w:eastAsia="仿宋_GB2312" w:hAnsi="宋体" w:cs="仿宋_GB2312" w:hint="eastAsia"/>
                <w:sz w:val="28"/>
                <w:szCs w:val="28"/>
              </w:rPr>
              <w:t>24</w:t>
            </w:r>
            <w:r>
              <w:rPr>
                <w:rFonts w:ascii="仿宋_GB2312" w:eastAsia="仿宋_GB2312" w:hAnsi="宋体" w:cs="仿宋_GB2312" w:hint="eastAsia"/>
                <w:sz w:val="28"/>
                <w:szCs w:val="28"/>
              </w:rPr>
              <w:t>日印发</w:t>
            </w:r>
          </w:p>
        </w:tc>
      </w:tr>
    </w:tbl>
    <w:p w:rsidR="00000000" w:rsidRDefault="003B355F">
      <w:pPr>
        <w:spacing w:line="40" w:lineRule="exact"/>
        <w:rPr>
          <w:rFonts w:hint="eastAsia"/>
          <w:kern w:val="0"/>
        </w:rPr>
      </w:pPr>
    </w:p>
    <w:p w:rsidR="003B355F" w:rsidRDefault="003B355F"/>
    <w:sectPr w:rsidR="003B355F">
      <w:footerReference w:type="default" r:id="rId9"/>
      <w:pgSz w:w="11906" w:h="16838"/>
      <w:pgMar w:top="2098" w:right="1474" w:bottom="1985" w:left="1588" w:header="851" w:footer="1361" w:gutter="0"/>
      <w:pgNumType w:fmt="numberInDash" w:start="1" w:chapSep="em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355F" w:rsidRDefault="003B355F">
      <w:r>
        <w:separator/>
      </w:r>
    </w:p>
  </w:endnote>
  <w:endnote w:type="continuationSeparator" w:id="1">
    <w:p w:rsidR="003B355F" w:rsidRDefault="003B35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355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0000" w:rsidRDefault="003B355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355F">
    <w:pPr>
      <w:pStyle w:val="a3"/>
      <w:framePr w:h="397" w:wrap="around" w:vAnchor="text" w:hAnchor="page" w:x="14609" w:y="58"/>
      <w:ind w:right="360"/>
      <w:rPr>
        <w:rStyle w:val="a4"/>
        <w:rFonts w:ascii="宋体" w:hAnsi="宋体"/>
        <w:sz w:val="28"/>
        <w:szCs w:val="28"/>
      </w:rPr>
    </w:pPr>
    <w:r>
      <w:rPr>
        <w:rStyle w:val="a4"/>
        <w:rFonts w:ascii="宋体" w:hAnsi="宋体" w:hint="eastAsia"/>
        <w:sz w:val="28"/>
        <w:szCs w:val="28"/>
      </w:rPr>
      <w:t>—</w:t>
    </w:r>
    <w:r>
      <w:rPr>
        <w:rStyle w:val="a4"/>
        <w:rFonts w:ascii="宋体" w:hAnsi="宋体" w:hint="eastAsia"/>
        <w:sz w:val="28"/>
        <w:szCs w:val="28"/>
      </w:rPr>
      <w:t xml:space="preserve"> 6 </w:t>
    </w:r>
    <w:r>
      <w:rPr>
        <w:rStyle w:val="a4"/>
        <w:rFonts w:ascii="宋体" w:hAnsi="宋体" w:hint="eastAsia"/>
        <w:sz w:val="28"/>
        <w:szCs w:val="28"/>
      </w:rPr>
      <w:t>—</w:t>
    </w:r>
  </w:p>
  <w:p w:rsidR="00000000" w:rsidRDefault="003B355F">
    <w:pPr>
      <w:jc w:val="right"/>
    </w:pPr>
  </w:p>
  <w:p w:rsidR="00000000" w:rsidRDefault="003B355F">
    <w:pPr>
      <w:pStyle w:val="a3"/>
      <w:ind w:right="360"/>
      <w:jc w:val="right"/>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355F">
    <w:pPr>
      <w:pStyle w:val="a3"/>
      <w:framePr w:wrap="around" w:vAnchor="text" w:hAnchor="margin" w:xAlign="right" w:y="1"/>
      <w:rPr>
        <w:rStyle w:val="a4"/>
        <w:rFonts w:ascii="宋体" w:hAnsi="宋体"/>
        <w:sz w:val="28"/>
        <w:szCs w:val="28"/>
      </w:rPr>
    </w:pPr>
    <w:r>
      <w:rPr>
        <w:rStyle w:val="a4"/>
        <w:rFonts w:ascii="宋体" w:hAnsi="宋体"/>
        <w:sz w:val="28"/>
        <w:szCs w:val="28"/>
      </w:rPr>
      <w:fldChar w:fldCharType="begin"/>
    </w:r>
    <w:r>
      <w:rPr>
        <w:rStyle w:val="a4"/>
        <w:rFonts w:ascii="宋体" w:hAnsi="宋体"/>
        <w:sz w:val="28"/>
        <w:szCs w:val="28"/>
      </w:rPr>
      <w:instrText xml:space="preserve">PAGE  </w:instrText>
    </w:r>
    <w:r>
      <w:rPr>
        <w:rStyle w:val="a4"/>
        <w:rFonts w:ascii="宋体" w:hAnsi="宋体"/>
        <w:sz w:val="28"/>
        <w:szCs w:val="28"/>
      </w:rPr>
      <w:fldChar w:fldCharType="separate"/>
    </w:r>
    <w:r w:rsidR="00557AA9">
      <w:rPr>
        <w:rStyle w:val="a4"/>
        <w:rFonts w:ascii="宋体" w:hAnsi="宋体"/>
        <w:noProof/>
        <w:sz w:val="28"/>
        <w:szCs w:val="28"/>
      </w:rPr>
      <w:t>- 4 -</w:t>
    </w:r>
    <w:r>
      <w:rPr>
        <w:rStyle w:val="a4"/>
        <w:rFonts w:ascii="宋体" w:hAnsi="宋体"/>
        <w:sz w:val="28"/>
        <w:szCs w:val="28"/>
      </w:rPr>
      <w:fldChar w:fldCharType="end"/>
    </w:r>
  </w:p>
  <w:p w:rsidR="00000000" w:rsidRDefault="003B355F">
    <w:pPr>
      <w:pStyle w:val="a3"/>
      <w:framePr w:h="397" w:wrap="around" w:vAnchor="text" w:hAnchor="page" w:x="14609" w:y="58"/>
      <w:ind w:right="360"/>
      <w:rPr>
        <w:rStyle w:val="a4"/>
        <w:rFonts w:ascii="宋体" w:hAnsi="宋体"/>
        <w:sz w:val="28"/>
        <w:szCs w:val="28"/>
      </w:rPr>
    </w:pPr>
    <w:r>
      <w:rPr>
        <w:rStyle w:val="a4"/>
        <w:rFonts w:ascii="宋体" w:hAnsi="宋体" w:hint="eastAsia"/>
        <w:sz w:val="28"/>
        <w:szCs w:val="28"/>
      </w:rPr>
      <w:t>—</w:t>
    </w:r>
    <w:r>
      <w:rPr>
        <w:rStyle w:val="a4"/>
        <w:rFonts w:ascii="宋体" w:hAnsi="宋体" w:hint="eastAsia"/>
        <w:sz w:val="28"/>
        <w:szCs w:val="28"/>
      </w:rPr>
      <w:t xml:space="preserve"> 6 </w:t>
    </w:r>
    <w:r>
      <w:rPr>
        <w:rStyle w:val="a4"/>
        <w:rFonts w:ascii="宋体" w:hAnsi="宋体" w:hint="eastAsia"/>
        <w:sz w:val="28"/>
        <w:szCs w:val="28"/>
      </w:rPr>
      <w:t>—</w:t>
    </w:r>
  </w:p>
  <w:p w:rsidR="00000000" w:rsidRDefault="003B355F">
    <w:pPr>
      <w:jc w:val="right"/>
    </w:pPr>
  </w:p>
  <w:p w:rsidR="00000000" w:rsidRDefault="003B355F">
    <w:pPr>
      <w:pStyle w:val="a3"/>
      <w:ind w:right="360"/>
      <w:jc w:val="right"/>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355F">
    <w:pPr>
      <w:pStyle w:val="a3"/>
      <w:framePr w:h="397" w:wrap="around" w:vAnchor="text" w:hAnchor="page" w:x="14609" w:y="58"/>
      <w:ind w:right="360"/>
      <w:rPr>
        <w:rStyle w:val="a4"/>
        <w:rFonts w:ascii="宋体" w:hAnsi="宋体"/>
        <w:sz w:val="28"/>
        <w:szCs w:val="28"/>
      </w:rPr>
    </w:pPr>
    <w:r>
      <w:rPr>
        <w:rStyle w:val="a4"/>
        <w:rFonts w:ascii="宋体" w:hAnsi="宋体" w:hint="eastAsia"/>
        <w:sz w:val="28"/>
        <w:szCs w:val="28"/>
      </w:rPr>
      <w:t>—</w:t>
    </w:r>
    <w:r>
      <w:rPr>
        <w:rStyle w:val="a4"/>
        <w:rFonts w:ascii="宋体" w:hAnsi="宋体" w:hint="eastAsia"/>
        <w:sz w:val="28"/>
        <w:szCs w:val="28"/>
      </w:rPr>
      <w:t xml:space="preserve"> 6 </w:t>
    </w:r>
    <w:r>
      <w:rPr>
        <w:rStyle w:val="a4"/>
        <w:rFonts w:ascii="宋体" w:hAnsi="宋体" w:hint="eastAsia"/>
        <w:sz w:val="28"/>
        <w:szCs w:val="28"/>
      </w:rPr>
      <w:t>—</w:t>
    </w:r>
  </w:p>
  <w:p w:rsidR="00000000" w:rsidRDefault="003B355F">
    <w:pPr>
      <w:jc w:val="right"/>
    </w:pPr>
  </w:p>
  <w:p w:rsidR="00000000" w:rsidRDefault="003B355F">
    <w:pPr>
      <w:pStyle w:val="a3"/>
      <w:ind w:right="360"/>
      <w:jc w:val="right"/>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355F" w:rsidRDefault="003B355F">
      <w:r>
        <w:separator/>
      </w:r>
    </w:p>
  </w:footnote>
  <w:footnote w:type="continuationSeparator" w:id="1">
    <w:p w:rsidR="003B355F" w:rsidRDefault="003B35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Y3YmEwZjZjMTBiZjRmNzE3YTg0NTZiMTI3NTJiNzgifQ=="/>
  </w:docVars>
  <w:rsids>
    <w:rsidRoot w:val="7AA76E95"/>
    <w:rsid w:val="003B355F"/>
    <w:rsid w:val="00557AA9"/>
    <w:rsid w:val="04AB5429"/>
    <w:rsid w:val="10771710"/>
    <w:rsid w:val="199617CC"/>
    <w:rsid w:val="1B225312"/>
    <w:rsid w:val="27FC269C"/>
    <w:rsid w:val="2C005DCA"/>
    <w:rsid w:val="3E8E1DAD"/>
    <w:rsid w:val="487D7F53"/>
    <w:rsid w:val="58120867"/>
    <w:rsid w:val="5B70582C"/>
    <w:rsid w:val="72822A26"/>
    <w:rsid w:val="73897FD4"/>
    <w:rsid w:val="783612BF"/>
    <w:rsid w:val="7AA76E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uiPriority="99" w:unhideWhenUsed="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600" w:lineRule="exact"/>
      <w:jc w:val="center"/>
      <w:outlineLvl w:val="0"/>
    </w:pPr>
    <w:rPr>
      <w:rFonts w:ascii="Calibri" w:eastAsia="方正小标宋简体" w:hAnsi="Calibri"/>
      <w:kern w:val="44"/>
      <w:sz w:val="44"/>
      <w:szCs w:val="22"/>
    </w:rPr>
  </w:style>
  <w:style w:type="paragraph" w:styleId="2">
    <w:name w:val="heading 2"/>
    <w:basedOn w:val="a"/>
    <w:next w:val="a"/>
    <w:qFormat/>
    <w:pPr>
      <w:keepNext/>
      <w:keepLines/>
      <w:spacing w:line="560" w:lineRule="exact"/>
      <w:outlineLvl w:val="1"/>
    </w:pPr>
    <w:rPr>
      <w:rFonts w:ascii="Arial" w:eastAsia="黑体" w:hAnsi="Arial"/>
    </w:rPr>
  </w:style>
  <w:style w:type="paragraph" w:styleId="3">
    <w:name w:val="heading 3"/>
    <w:basedOn w:val="a"/>
    <w:next w:val="a"/>
    <w:qFormat/>
    <w:pPr>
      <w:keepNext/>
      <w:keepLines/>
      <w:spacing w:line="413" w:lineRule="auto"/>
      <w:outlineLvl w:val="2"/>
    </w:pPr>
    <w:rPr>
      <w:b/>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character" w:styleId="a4">
    <w:name w:val="page number"/>
    <w:basedOn w:val="a0"/>
    <w:uiPriority w:val="99"/>
    <w:unhideWhenUsed/>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267</Words>
  <Characters>1528</Characters>
  <Application>Microsoft Office Word</Application>
  <DocSecurity>0</DocSecurity>
  <Lines>12</Lines>
  <Paragraphs>3</Paragraphs>
  <ScaleCrop>false</ScaleCrop>
  <Company>Microsoft</Company>
  <LinksUpToDate>false</LinksUpToDate>
  <CharactersWithSpaces>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你要是知道的话就告诉我兔子去哪了</dc:creator>
  <cp:lastModifiedBy>王俊红</cp:lastModifiedBy>
  <cp:revision>2</cp:revision>
  <dcterms:created xsi:type="dcterms:W3CDTF">2024-09-03T01:05:00Z</dcterms:created>
  <dcterms:modified xsi:type="dcterms:W3CDTF">2024-09-03T01:05:00Z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7ED57B7E734744FD8E66923EE86A1D2C_13</vt:lpwstr>
  </property>
</Properties>
</file>